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default" w:ascii="Times New Roman" w:hAnsi="Times New Roman" w:eastAsia="微软雅黑" w:cs="Times New Roman"/>
          <w:b w:val="0"/>
          <w:bCs w:val="0"/>
          <w:sz w:val="36"/>
          <w:szCs w:val="44"/>
          <w:highlight w:val="none"/>
        </w:rPr>
        <w:t>202</w:t>
      </w:r>
      <w:r>
        <w:rPr>
          <w:rFonts w:hint="default" w:ascii="Times New Roman" w:hAnsi="Times New Roman" w:eastAsia="微软雅黑" w:cs="Times New Roman"/>
          <w:b w:val="0"/>
          <w:bCs w:val="0"/>
          <w:sz w:val="36"/>
          <w:szCs w:val="44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tbl>
      <w:tblPr>
        <w:tblStyle w:val="10"/>
        <w:tblpPr w:leftFromText="181" w:rightFromText="181" w:vertAnchor="page" w:horzAnchor="page" w:tblpX="3553" w:tblpY="31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bookmarkStart w:id="0" w:name="_GoBack"/>
      <w:bookmarkEnd w:id="0"/>
    </w:p>
    <w:p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本人是参加中国农业科学院202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，遵从工作人员的操作指令。我承诺提供、提交的所有信息和材料真实、准确，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现场复试期间遵守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考场规则，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不携带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任何书刊、报纸、稿纸、图片、资料、具有通讯功能的工具（如手机、</w:t>
      </w:r>
      <w:r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</w:rPr>
        <w:t>智能手表、智能眼镜和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照相、扫描等</w:t>
      </w:r>
      <w:r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</w:rPr>
        <w:t>设备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）或者有存储、编程、查询功能的电子用品以及涂改液、修正带等物品进入考场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考后不将复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内容相关信息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带出考场、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泄露或公布。如有违规违纪或弄虚作假等行为，我接受取消复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取消拟录取资格等处理决定，并承担相应的法律责任。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ordWrap w:val="0"/>
        <w:ind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承诺人：         </w:t>
      </w:r>
    </w:p>
    <w:p>
      <w:pPr>
        <w:ind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AD347D6"/>
    <w:rsid w:val="190613A0"/>
    <w:rsid w:val="190B6A1B"/>
    <w:rsid w:val="195D0571"/>
    <w:rsid w:val="1C011BFC"/>
    <w:rsid w:val="28B24557"/>
    <w:rsid w:val="31D201FC"/>
    <w:rsid w:val="331D5B8D"/>
    <w:rsid w:val="37D70D2F"/>
    <w:rsid w:val="7A7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